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1953</w:t>
        <w:t xml:space="preserve">.  </w:t>
      </w:r>
      <w:r>
        <w:rPr>
          <w:b/>
        </w:rPr>
        <w:t xml:space="preserve">Tax a debt; recovery; preference</w:t>
      </w:r>
    </w:p>
    <w:p>
      <w:pPr>
        <w:jc w:val="both"/>
        <w:spacing w:before="100" w:after="100"/>
        <w:ind w:start="360"/>
        <w:ind w:firstLine="360"/>
      </w:pPr>
      <w:r>
        <w:rPr/>
      </w:r>
      <w:r>
        <w:rPr/>
      </w:r>
      <w:r>
        <w:t xml:space="preserve">The taxes, interest and penalties imposed by </w:t>
      </w:r>
      <w:r>
        <w:t>chapters 7</w:t>
      </w:r>
      <w:r>
        <w:t xml:space="preserve"> and </w:t>
      </w:r>
      <w:r>
        <w:t>211</w:t>
      </w:r>
      <w:r>
        <w:t xml:space="preserve"> to </w:t>
      </w:r>
      <w:r>
        <w:t>225</w:t>
      </w:r>
      <w:r>
        <w:t xml:space="preserve">, from the time they are due, are a personal debt of the retailer or user to the State, recoverable in any court of competent jurisdiction in a civil action in the name of the State.</w:t>
      </w:r>
      <w:r>
        <w:t xml:space="preserve">  </w:t>
      </w:r>
      <w:r xmlns:wp="http://schemas.openxmlformats.org/drawingml/2010/wordprocessingDrawing" xmlns:w15="http://schemas.microsoft.com/office/word/2012/wordml">
        <w:rPr>
          <w:rFonts w:ascii="Arial" w:hAnsi="Arial" w:cs="Arial"/>
          <w:sz w:val="22"/>
          <w:szCs w:val="22"/>
        </w:rPr>
        <w:t xml:space="preserve">[PL 2005, c. 218,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§B46 (AMD). PL 2005, c. 218,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§1953. Tax a debt; recovery; preference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§1953. Tax a debt; recovery; preference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§1953. TAX A DEBT; RECOVERY; PREFERENCE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