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§1955-C. ASSESSMENT FOR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