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Refund of sales tax on purchases of parts and supplies for windjammers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"Parts and supplies" means any products used directly and primarily for the operation, repair or maintenance of a windjammer, including, but not limited to, sails, rope, wood, rigging, masts, paints, varnishes, undersealers, engines and pumps, and lubricants and fuel.</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w:pPr>
        <w:jc w:val="both"/>
        <w:spacing w:before="100" w:after="0"/>
        <w:ind w:start="720"/>
      </w:pPr>
      <w:r>
        <w:rPr/>
        <w:t>B</w:t>
        <w:t xml:space="preserve">.  </w:t>
      </w:r>
      <w:r>
        <w:rPr/>
      </w:r>
      <w:r>
        <w:t xml:space="preserve">"Windjammer" means a United States Coast Guard-certified sailing vessel based in the State of traditional construction and designed to a historic standard that is used primarily for providing overnight passenger cruises along the Maine coast for a fee.</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to a person that purchases parts and supplies for use in the operation, repair or maintenance of a windjammer the amount of sales tax paid with respect to those parts and supplies upon the person's presenting evidence that the purchase is eligible for a refund under this section.  The refund claim must be submitted on a form prescribed by the assessor and must be accompanied by a copy or copies of that portion of the purchaser's most recent filing under the Code indicating that the purchaser is engaged in the operation of a windjammer and such additional information as the assessor may require.  An application for a refund under this subsection must be filed with the assessor within 36 months of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parts and supplies for use in the operation, repair or maintenance of a windjammer if the purchaser has obtained a certificate from the assessor stating that the purchaser is engaged in the operation of a windjammer and authorizing the purchaser to purchase parts and supplies for use in the operation, repair and maintenance of a windjammer without paying Maine sales tax.  The seller shall obtain a copy of the certificate together with an affidavit as prescribed by the assessor, to be maintained in the seller's records, attesting to the qualification of purchases for exemption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w:t>
      </w:r>
      <w:r>
        <w:t>subsection 2</w:t>
      </w:r>
      <w:r>
        <w:t xml:space="preserve"> or the use of a certificate issued under </w:t>
      </w:r>
      <w:r>
        <w:t>subsection 3</w:t>
      </w:r>
      <w:r>
        <w:t xml:space="preserve">.  If the assessor determines that the amount of the claimed refund is incorrect or that the certificate has been used inappropriately, the assessor may issue an assessment within 3 years from the date of purchase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approved amount to qualified applicants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§2020. Refund of sales tax on purchases of parts and supplies for windjammers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Refund of sales tax on purchases of parts and supplies for windjammers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§2020. REFUND OF SALES TAX ON PURCHASES OF PARTS AND SUPPLIES FOR WINDJAMMERS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