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§2872. Tax imposed; fiscal years beginning 2002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§2872. Tax imposed; fiscal years beginning 2002</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§2872. TAX IMPOSED; FISCAL YEARS BEGINNING 2002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