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2895</w:t>
        <w:t xml:space="preserve">.  </w:t>
      </w:r>
      <w:r>
        <w:rPr>
          <w:b/>
        </w:rPr>
        <w:t xml:space="preserve">Return and payment of assessment;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assessment imposed under </w:t>
      </w:r>
      <w:r>
        <w:t>section 2894</w:t>
      </w:r>
      <w:r>
        <w:t xml:space="preserve"> shall submit to the assessor a return on a form prescribed and furnished by the assessor.  The assessment is payable in 2 payments.  The first payment is due by September 30, 2010.  The 2nd payment is due by March 30,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w:t>
      </w:r>
      <w:r>
        <w:t>section 2894</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VV,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§2895. Return and payment of assessment; application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§2895. Return and payment of assessment; application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§2895. RETURN AND PAYMENT OF ASSESSMENT; APPLICATION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