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§3203. Tax levied; consignment sales; credited to Highway Fund;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Tax levied; consignment sales; credited to Highway Fund;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 TAX LEVIED; CONSIGNMENT SALES; CREDITED TO HIGHWAY FUND;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