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Collection of tax</w:t>
      </w:r>
    </w:p>
    <w:p>
      <w:pPr>
        <w:jc w:val="both"/>
        <w:spacing w:before="100" w:after="100"/>
        <w:ind w:start="360"/>
        <w:ind w:firstLine="360"/>
      </w:pPr>
      <w:r>
        <w:rPr/>
      </w:r>
      <w:r>
        <w:rPr/>
      </w:r>
      <w:r>
        <w:t xml:space="preserve">Every supplier and retailer paying or becoming liable to pay the tax imposed by this chapter shall charge and collect the tax at the applicable rate.</w:t>
      </w:r>
      <w:r>
        <w:t xml:space="preserve">  </w:t>
      </w:r>
      <w:r xmlns:wp="http://schemas.openxmlformats.org/drawingml/2010/wordprocessingDrawing" xmlns:w15="http://schemas.microsoft.com/office/word/2012/wordml">
        <w:rPr>
          <w:rFonts w:ascii="Arial" w:hAnsi="Arial" w:cs="Arial"/>
          <w:sz w:val="22"/>
          <w:szCs w:val="22"/>
        </w:rPr>
        <w:t xml:space="preserve">[PL 1999, c. 733, §9 (AMD); PL 1999, c. 733, §17 (AFF).]</w:t>
      </w:r>
    </w:p>
    <w:p>
      <w:pPr>
        <w:jc w:val="both"/>
        <w:spacing w:before="100" w:after="100"/>
        <w:ind w:start="360"/>
        <w:ind w:firstLine="360"/>
      </w:pPr>
      <w:r>
        <w:rPr/>
      </w:r>
      <w:r>
        <w:rPr/>
      </w:r>
      <w:r>
        <w:t xml:space="preserve">Every licensed user shall remit tax on all special fuels purchased and not used for heating, industrial use or for off-highway use, when the special fuel has not been subjected to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1993, c. 670, §7 (AMD). PL 1999, c. 414, §31 (AMD). PL 1999, c. 733, §9 (AMD). PL 1999, c. 733,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§3207.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§3207.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