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3923</w:t>
        <w:t xml:space="preserve">.  </w:t>
      </w:r>
      <w:r>
        <w:rPr>
          <w:b/>
        </w:rPr>
        <w:t xml:space="preserve">Reciprocal application</w:t>
      </w:r>
    </w:p>
    <w:p>
      <w:pPr>
        <w:jc w:val="both"/>
        <w:spacing w:before="100" w:after="100"/>
        <w:ind w:start="360"/>
        <w:ind w:firstLine="360"/>
      </w:pPr>
      <w:r>
        <w:rPr/>
      </w:r>
      <w:r>
        <w:rPr/>
      </w:r>
      <w:r>
        <w:t xml:space="preserve">This chapter shall apply only to cases in which each of the states involved has a law identical with or substantially similar to this chapter.</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§3923. Reciprocal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§3923. Reciprocal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§3923. RECIPROCAL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