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3924</w:t>
        <w:t xml:space="preserve">.  </w:t>
      </w:r>
      <w:r>
        <w:rPr>
          <w:b/>
        </w:rPr>
        <w:t xml:space="preserve">Effective date</w:t>
      </w:r>
    </w:p>
    <w:p>
      <w:pPr>
        <w:jc w:val="both"/>
        <w:spacing w:before="100" w:after="100"/>
        <w:ind w:start="360"/>
        <w:ind w:firstLine="360"/>
      </w:pPr>
      <w:r>
        <w:rPr/>
      </w:r>
      <w:r>
        <w:rPr/>
      </w:r>
      <w:r>
        <w:t xml:space="preserve">This chapter shall apply to estates of decedents dying before or after August 6, 1949.</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§3924.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§3924.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§3924.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