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4075-A</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return was filed or 3 years from the date the tax was paid, whichever period expires later.  Every claim for refund must be submitted to the State Tax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§16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return of that tax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§2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§23 (NEW). PL 2005, c. 622, §24 (AMD). PL 2011, c. 1, Pt. DD, §2 (AMD). PL 2011, c. 1, Pt. DD, §4 (AFF). PL 2011, c. 1, Pt. EE, §2 (AMD). PL 2011, c. 1, Pt. EE, §4 (AFF). PL 2013, c. 331, Pt. C, §16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§4075-A. Authority to make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§4075-A. Authority to make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§4075-A. AUTHORITY TO MAKE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