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Extension of due date for payment of tax</w:t>
      </w:r>
    </w:p>
    <w:p>
      <w:pPr>
        <w:jc w:val="both"/>
        <w:spacing w:before="100" w:after="100"/>
        <w:ind w:start="360"/>
        <w:ind w:firstLine="360"/>
      </w:pPr>
      <w:r>
        <w:rPr/>
      </w:r>
      <w:r>
        <w:rPr/>
      </w:r>
      <w:r>
        <w:t xml:space="preserve">The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4109</w:t>
      </w:r>
      <w:r>
        <w:t xml:space="preserve">. If an extension is granted, the assessor may require the taxpayer to:</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Bond.</w:t>
        <w:t xml:space="preserve"> </w:t>
      </w:r>
      <w:r>
        <w:t xml:space="preserve"> </w:t>
      </w:r>
      <w:r>
        <w:t xml:space="preserve">Give a bond to the Treasurer of State in an amount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Other security.</w:t>
        <w:t xml:space="preserve"> </w:t>
      </w:r>
      <w:r>
        <w:t xml:space="preserve"> </w:t>
      </w:r>
      <w:r>
        <w:t xml:space="preserve">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§4108. Extension of due date for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Extension of due date for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§4108. EXTENSION OF DUE DATE FOR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