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§4111. Effect of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Effect of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§4111. EFFECT OF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