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4116</w:t>
        <w:t xml:space="preserve">.  </w:t>
      </w:r>
      <w:r>
        <w:rPr>
          <w:b/>
        </w:rPr>
        <w:t xml:space="preserve">Appointment of personal representative on probate delay</w:t>
      </w:r>
    </w:p>
    <w:p>
      <w:pPr>
        <w:jc w:val="both"/>
        <w:spacing w:before="100" w:after="100"/>
        <w:ind w:start="360"/>
        <w:ind w:firstLine="360"/>
      </w:pPr>
      <w:r>
        <w:rPr/>
      </w:r>
      <w:r>
        <w:rPr/>
      </w:r>
      <w:r>
        <w:t xml:space="preserve">If, upon the death of a person leaving an estate that may be liable to pay tax under this chapter, a will is not offered for probate or an application for administration is not made within 6 months after the date of death or if the personal representative does not qualify within that period, the Probate Court, upon application by the assessor, may appoint a personal representative.  Nothing may prevent the assessor from petitioning for appointment within 6 months after the date of death, if in the opinion of the assessor that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§4116. Appointment of personal representative on probate delay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§4116. Appointment of personal representative on probate delay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§4116. APPOINTMENT OF PERSONAL REPRESENTATIVE ON PROBATE DELAY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