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4119</w:t>
        <w:t xml:space="preserve">.  </w:t>
      </w:r>
      <w:r>
        <w:rPr>
          <w:b/>
        </w:rPr>
        <w:t xml:space="preserve">Annual adjustments for inflation</w:t>
      </w:r>
    </w:p>
    <w:p>
      <w:pPr>
        <w:jc w:val="both"/>
        <w:spacing w:before="100" w:after="100"/>
        <w:ind w:start="360"/>
        <w:ind w:firstLine="360"/>
      </w:pPr>
      <w:r>
        <w:rPr/>
      </w:r>
      <w:r>
        <w:rPr/>
      </w:r>
      <w:r>
        <w:t xml:space="preserve">Beginning in 2018 and each year thereafter, on or about September 15th, for the estates of decedents who die during the succeeding calendar year, the assessor shall multiply the cost-of-living adjustment by the dollar amount contained in </w:t>
      </w:r>
      <w:r>
        <w:t>section 4102, subsection 5</w:t>
      </w:r>
      <w:r>
        <w:t xml:space="preserve"> applicable to estates of decedents dying on or after January 1, 2018. For the purposes of this section, the "cost-of-living adjustment" is the Chained Consumer Price Index for the 12-month period ending June 30th of the preceding calendar year divided by the Chained Consumer Price Index for the 12-month period ending June 30, 2017.  If the dollar amount, adjusted by the application of the cost-of-living adjustment, is not a multiple of $10,000, any increase must be rounded to the nearest multiple of $10,000.</w:t>
      </w:r>
      <w:r>
        <w:t xml:space="preserve">  </w:t>
      </w:r>
      <w:r xmlns:wp="http://schemas.openxmlformats.org/drawingml/2010/wordprocessingDrawing" xmlns:w15="http://schemas.microsoft.com/office/word/2012/wordml">
        <w:rPr>
          <w:rFonts w:ascii="Arial" w:hAnsi="Arial" w:cs="Arial"/>
          <w:sz w:val="22"/>
          <w:szCs w:val="22"/>
        </w:rPr>
        <w:t xml:space="preserve">[PL 2019, c. 607,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G, §2 (NEW). PL 2019, c. 607,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§4119. Annual adjustments for inflation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§4119. Annual adjustments for inflation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§4119. ANNUAL ADJUSTMENTS FOR INFLATION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