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§4365-F. Application of cigarette tax rate increase effective September 19, 2005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§4365-F. Application of cigarette tax rate increase effective September 19, 2005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§4365-F. APPLICATION OF CIGARETTE TAX RATE INCREASE EFFECTIVE SEPTEMBER 19, 2005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