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Returns; payment of tax and penalty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Every distributor subject to the licensing requirement of </w:t>
      </w:r>
      <w:r>
        <w:t>section 4402</w:t>
      </w:r>
      <w:r>
        <w:t xml:space="preserve"> shall file, on or before the last day of each month, a return on a form prescribed and furnished by the State Tax Assessor together with payment of the tax due under this chapter.  The return must report all tobacco products held, purchased, manufactured, brought in or caused to be brought in from outside the State or shipped or transported to retailers within the State during the preceding calendar month.  Every distributor shall keep a complete and accurate record at its principal place of business to substantiate all receipts and sales of tobacco products.</w:t>
      </w:r>
      <w:r>
        <w:t xml:space="preserve">  </w:t>
      </w:r>
      <w:r xmlns:wp="http://schemas.openxmlformats.org/drawingml/2010/wordprocessingDrawing" xmlns:w15="http://schemas.microsoft.com/office/word/2012/wordml">
        <w:rPr>
          <w:rFonts w:ascii="Arial" w:hAnsi="Arial" w:cs="Arial"/>
          <w:sz w:val="22"/>
          <w:szCs w:val="22"/>
        </w:rPr>
        <w:t xml:space="preserve">[PL 2009, c. 213, Pt. H, §2 (AMD).]</w:t>
      </w:r>
    </w:p>
    <w:p>
      <w:pPr>
        <w:jc w:val="both"/>
        <w:spacing w:before="100" w:after="100"/>
        <w:ind w:start="360"/>
        <w:ind w:firstLine="360"/>
      </w:pPr>
      <w:r>
        <w:rPr/>
      </w:r>
      <w:r>
        <w:rPr/>
      </w:r>
      <w:r>
        <w:t xml:space="preserve">The return must include further information as the assessor may prescribe and must show a credit for any tobacco products exempted as provided in </w:t>
      </w:r>
      <w:r>
        <w:t>section 4403</w:t>
      </w:r>
      <w:r>
        <w:t xml:space="preserve">. Records must be maintained to substantiate the exemption. Tax previously paid on tobacco products that are returned to a manufacturer or a distributor because the product has become unfit for use, sale or consumption and for tobacco products that are returned to a distributor that are subsequently destroyed by the distributor may be taken as a credit on a subsequent return. The assessor may either witness the destruction of the product or may accept another form of proof that the product has been destroyed by the distributor or returned to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379, Pt. B, §20 (AMD).]</w:t>
      </w:r>
    </w:p>
    <w:p>
      <w:pPr>
        <w:jc w:val="both"/>
        <w:spacing w:before="100" w:after="100"/>
        <w:ind w:start="360"/>
        <w:ind w:firstLine="360"/>
      </w:pPr>
      <w:r>
        <w:rPr/>
      </w:r>
      <w:r>
        <w:rPr/>
      </w:r>
      <w:r>
        <w:t xml:space="preserve">A person who is not a distributor licensed pursuant to this chapter who imports, receives or otherwise acquires tobacco products for use or consumption in the State from a person other than a licensed distributor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or retailer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2005, c. 627,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 RETURNS; PAYMENT OF TAX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