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Payment of tax in town where charters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Payment of tax in town where charters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 PAYMENT OF TAX IN TOWN WHERE CHARTERS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