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J. Recording withou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J. Recording withou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J. RECORDING WITHOU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