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4714</w:t>
        <w:t xml:space="preserve">.  </w:t>
      </w:r>
      <w:r>
        <w:rPr>
          <w:b/>
        </w:rPr>
        <w:t xml:space="preserve">Certificate required for license</w:t>
      </w:r>
    </w:p>
    <w:p>
      <w:pPr>
        <w:jc w:val="both"/>
        <w:spacing w:before="100" w:after="100"/>
        <w:ind w:start="360"/>
        <w:ind w:firstLine="360"/>
      </w:pPr>
      <w:r>
        <w:rPr/>
      </w:r>
      <w:r>
        <w:rPr/>
      </w:r>
      <w:r>
        <w:t xml:space="preserve">The Department of Marine Resources shall not issue or renew a wholesale seafood license as set forth in </w:t>
      </w:r>
      <w:r>
        <w:t>Title 12, section 6851</w:t>
      </w:r>
      <w:r>
        <w:t xml:space="preserve">; a shellfish transportation license as set forth in </w:t>
      </w:r>
      <w:r>
        <w:t>Title 12, section 6855</w:t>
      </w:r>
      <w:r>
        <w:t xml:space="preserve">; or a shellfish certificate as set forth in </w:t>
      </w:r>
      <w:r>
        <w:t>Title 12, section 6856</w:t>
      </w:r>
      <w:r>
        <w:t xml:space="preserve">, for the purpose of dealing in mahogany quahogs without proof of certification by the State Tax Assessor, as required by this chapter.  The Department of Marine Resources shall make available to the State Tax Assessor any licensing information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§4714. Certificate required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§4714. Certificate required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§4714. CERTIFICATE REQUIRED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