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4834</w:t>
        <w:t xml:space="preserve">.  </w:t>
      </w:r>
      <w:r>
        <w:rPr>
          <w:b/>
        </w:rPr>
        <w:t xml:space="preserve">Effective date</w:t>
      </w:r>
    </w:p>
    <w:p>
      <w:pPr>
        <w:jc w:val="both"/>
        <w:spacing w:before="100" w:after="100"/>
        <w:ind w:start="360"/>
        <w:ind w:firstLine="360"/>
      </w:pPr>
      <w:r>
        <w:rPr/>
      </w:r>
      <w:r>
        <w:rPr/>
      </w:r>
      <w:r>
        <w:t xml:space="preserve">This chapter shall be effective for taxable purchases made in this State on or after July 1, 1990 and for taxable items brought into this State by the user on or after July 1, 1990.</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§4834.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