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Part shall be known and may be cited as the "Maine Income Tax Law."</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