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1-A. Alternative method of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A. Alternative method of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1-A. ALTERNATIVE METHOD OF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