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Cross references</w:t>
      </w:r>
    </w:p>
    <w:p>
      <w:pPr>
        <w:jc w:val="both"/>
        <w:spacing w:before="100" w:after="100"/>
        <w:ind w:start="360"/>
        <w:ind w:firstLine="360"/>
      </w:pPr>
      <w:r>
        <w:rPr/>
      </w:r>
      <w:r>
        <w:rPr/>
      </w:r>
      <w:r>
        <w:t xml:space="preserve">For application of the tax to estates and trusts, see </w:t>
      </w:r>
      <w:r>
        <w:t>chapter 809</w:t>
      </w:r>
      <w:r>
        <w:t xml:space="preserve">, for application to partnerships, </w:t>
      </w:r>
      <w:r>
        <w:t>chapter 815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§5112. Cross references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Cross references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§5112. CROSS REFERENCES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