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§5219-H. Application of credits against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§5219-H. Application of credits against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§5219-H. APPLICATION OF CREDITS AGAINST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