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§5219-MM. Maine capital investment credit for 2014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§5219-MM. Maine capital investment credit for 2014</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§5219-MM. MAINE CAPITAL INVESTMENT CREDIT FOR 2014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