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§5219-S. Earned income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§5219-S. Earned income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§5219-S. EARNED INCOME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