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§5250-B. Withholding on pass-through entity income of nonresident partners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§5250-B. WITHHOLDING ON PASS-THROUGH ENTITY INCOME OF NONRESIDENT PARTNERS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