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§5255-B. Certain items of income under the United States Internal Revenue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§5255-B. Certain items of income under the United States Internal Revenue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§5255-B. CERTAIN ITEMS OF INCOME UNDER THE UNITED STATES INTERNAL REVENUE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