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§5280. Refund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§5280. Refund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§5280. REFUND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