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w:t>
        <w:t xml:space="preserve">.  </w:t>
      </w:r>
      <w:r>
        <w:rPr>
          <w:b/>
        </w:rPr>
        <w:t xml:space="preserve">Reclassification</w:t>
      </w:r>
    </w:p>
    <w:p>
      <w:pPr>
        <w:jc w:val="both"/>
        <w:spacing w:before="100" w:after="100"/>
        <w:ind w:start="360"/>
        <w:ind w:firstLine="360"/>
      </w:pPr>
      <w:r>
        <w:rPr/>
      </w:r>
      <w:r>
        <w:rPr/>
      </w:r>
      <w:r>
        <w:t xml:space="preserve">Land subject to taxes under this subchapter may be reclassified as to forest type by the assessor upon application of the owner with a proper showing of the reasons justifying such reclassification or upon the initiative of the respective assessor where the facts justify same.</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§580. Reclassification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 Reclassification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§580. RECLASSIFICATION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