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Personal property; defined</w:t>
      </w:r>
    </w:p>
    <w:p>
      <w:pPr>
        <w:jc w:val="both"/>
        <w:spacing w:before="100" w:after="100"/>
        <w:ind w:start="360"/>
        <w:ind w:firstLine="360"/>
      </w:pPr>
      <w:r>
        <w:rPr/>
      </w:r>
      <w:r>
        <w:rPr/>
      </w:r>
      <w:r>
        <w:t xml:space="preserve">Personal property for the purposes of taxation includes all tangible goods and chattels wheresoever they are and all vessels, at home or abroad.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Personal property;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Personal property;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§601. PERSONAL PROPERTY;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