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6263</w:t>
        <w:t xml:space="preserve">.  </w:t>
      </w:r>
      <w:r>
        <w:rPr>
          <w:b/>
        </w:rPr>
        <w:t xml:space="preserve">Extension of time for payment upon death of claimant or spouse</w:t>
      </w:r>
    </w:p>
    <w:p>
      <w:pPr>
        <w:jc w:val="both"/>
        <w:spacing w:before="100" w:after="100"/>
        <w:ind w:start="360"/>
        <w:ind w:firstLine="360"/>
      </w:pPr>
      <w:r>
        <w:rPr>
          <w:b/>
        </w:rPr>
        <w:t>1</w:t>
        <w:t xml:space="preserve">.  </w:t>
      </w:r>
      <w:r>
        <w:rPr>
          <w:b/>
        </w:rPr>
        <w:t xml:space="preserve">Payment extension.</w:t>
        <w:t xml:space="preserve"> </w:t>
      </w:r>
      <w:r>
        <w:t xml:space="preserve"> </w:t>
      </w:r>
      <w:r>
        <w:t xml:space="preserve">If the taxpayer who claimed homestead property tax deferral dies, or if a spouse who continued the deferral under </w:t>
      </w:r>
      <w:r>
        <w:t>section 6261</w:t>
      </w:r>
      <w:r>
        <w:t xml:space="preserve"> dies, the bureau may extend the time for payment of the deferred taxes and interest accruing with respect to the taxes becoming due and payable under </w:t>
      </w:r>
      <w:r>
        <w:t>section 6260, subsection 2</w:t>
      </w:r>
      <w:r>
        <w:t xml:space="preserve">, if:</w:t>
      </w:r>
    </w:p>
    <w:p>
      <w:pPr>
        <w:jc w:val="both"/>
        <w:spacing w:before="100" w:after="0"/>
        <w:ind w:start="720"/>
      </w:pPr>
      <w:r>
        <w:rPr/>
        <w:t>A</w:t>
        <w:t xml:space="preserve">.  </w:t>
      </w:r>
      <w:r>
        <w:rPr/>
      </w:r>
      <w:r>
        <w:t xml:space="preserve">The homestead property becomes property of an individual or individuals:</w:t>
      </w:r>
    </w:p>
    <w:p>
      <w:pPr>
        <w:jc w:val="both"/>
        <w:spacing w:before="100" w:after="0"/>
        <w:ind w:start="1080"/>
      </w:pPr>
      <w:r>
        <w:rPr/>
        <w:t>(</w:t>
        <w:t>1</w:t>
        <w:t xml:space="preserve">)  </w:t>
      </w:r>
      <w:r>
        <w:rPr/>
      </w:r>
      <w:r>
        <w:t xml:space="preserve">By inheritance or devise; or</w:t>
      </w:r>
    </w:p>
    <w:p>
      <w:pPr>
        <w:jc w:val="both"/>
        <w:spacing w:before="100" w:after="0"/>
        <w:ind w:start="1080"/>
      </w:pPr>
      <w:r>
        <w:rPr/>
        <w:t>(</w:t>
        <w:t>2</w:t>
        <w:t xml:space="preserve">)  </w:t>
      </w:r>
      <w:r>
        <w:rPr/>
      </w:r>
      <w:r>
        <w:t xml:space="preserve">If the individual or individuals are heirs or devisees in the course of settlement of the estate;</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An individual or individuals commence occupancy of the property as a principal residence within 12 months of the date of death; and</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w:pPr>
        <w:jc w:val="both"/>
        <w:spacing w:before="100" w:after="0"/>
        <w:ind w:start="720"/>
      </w:pPr>
      <w:r>
        <w:rPr/>
        <w:t>C</w:t>
        <w:t xml:space="preserve">.  </w:t>
      </w:r>
      <w:r>
        <w:rPr/>
      </w:r>
      <w:r>
        <w:t xml:space="preserve">An individual or individuals make application to the bureau for an extension of time for payment of the deferred taxes and interest within 12 months of the date of death.</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100"/>
        <w:ind w:start="360"/>
        <w:ind w:firstLine="360"/>
      </w:pPr>
      <w:r>
        <w:rPr>
          <w:b/>
        </w:rPr>
        <w:t>2</w:t>
        <w:t xml:space="preserve">.  </w:t>
      </w:r>
      <w:r>
        <w:rPr>
          <w:b/>
        </w:rPr>
        <w:t xml:space="preserve">Extension terms.</w:t>
        <w:t xml:space="preserve"> </w:t>
      </w:r>
      <w:r>
        <w:t xml:space="preserve"> </w:t>
      </w:r>
      <w:r>
        <w:t xml:space="preserve">Subject to </w:t>
      </w:r>
      <w:r>
        <w:t>paragraph B</w:t>
      </w:r>
      <w:r>
        <w:t xml:space="preserve">, an extension granted under </w:t>
      </w:r>
      <w:r>
        <w:t>subsection 1</w:t>
      </w:r>
      <w:r>
        <w:t xml:space="preserve"> must be for a period not to exceed 6 years from the date of death.  The terms and conditions under which the extension is granted must be in accordance with a written agreement entered into by the bureau and the individual or individuals.</w:t>
      </w:r>
    </w:p>
    <w:p>
      <w:pPr>
        <w:jc w:val="both"/>
        <w:spacing w:before="100" w:after="0"/>
        <w:ind w:start="360"/>
      </w:pPr>
      <w:r>
        <w:rPr/>
      </w:r>
      <w:r>
        <w:rPr/>
      </w:r>
      <w:r>
        <w:t xml:space="preserve">An extension granted under this section terminates immediately if:</w:t>
      </w:r>
    </w:p>
    <w:p>
      <w:pPr>
        <w:jc w:val="both"/>
        <w:spacing w:before="100" w:after="0"/>
        <w:ind w:start="720"/>
      </w:pPr>
      <w:r>
        <w:rPr/>
        <w:t>A</w:t>
        <w:t xml:space="preserve">.  </w:t>
      </w:r>
      <w:r>
        <w:rPr/>
      </w:r>
      <w:r>
        <w:t xml:space="preserve">The homestead property is sold or otherwise transferred by any party to the extension agreement;</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B</w:t>
        <w:t xml:space="preserve">.  </w:t>
      </w:r>
      <w:r>
        <w:rPr/>
      </w:r>
      <w:r>
        <w:t xml:space="preserve">All of the heirs or devisees who are parties to the extension agreement cease to occupy the property as a principal residence; or</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w:pPr>
        <w:jc w:val="both"/>
        <w:spacing w:before="100" w:after="0"/>
        <w:ind w:start="720"/>
      </w:pPr>
      <w:r>
        <w:rPr/>
        <w:t>C</w:t>
        <w:t xml:space="preserve">.  </w:t>
      </w:r>
      <w:r>
        <w:rPr/>
      </w:r>
      <w:r>
        <w:t xml:space="preserve">The homestead property, a mobile or floating home, is moved out of the State.</w:t>
      </w:r>
      <w:r>
        <w:t xml:space="preserve">  </w:t>
      </w:r>
      <w:r xmlns:wp="http://schemas.openxmlformats.org/drawingml/2010/wordprocessingDrawing" xmlns:w15="http://schemas.microsoft.com/office/word/2012/wordml">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w:pPr>
        <w:jc w:val="both"/>
        <w:spacing w:before="100" w:after="0"/>
        <w:ind w:start="360"/>
        <w:ind w:firstLine="360"/>
      </w:pPr>
      <w:r>
        <w:rPr>
          <w:b/>
        </w:rPr>
        <w:t>3</w:t>
        <w:t xml:space="preserve">.  </w:t>
      </w:r>
      <w:r>
        <w:rPr>
          <w:b/>
        </w:rPr>
        <w:t xml:space="preserve">Accrued interest.</w:t>
        <w:t xml:space="preserve"> </w:t>
      </w:r>
      <w:r>
        <w:t xml:space="preserve"> </w:t>
      </w:r>
      <w:r>
        <w:t xml:space="preserve">During the period of extension, and until paid, the deferred taxes continue to accrue interest in the same manner and at the same rate as provided under </w:t>
      </w:r>
      <w:r>
        <w:t>section 6255, subsection 3</w:t>
      </w:r>
      <w:r>
        <w:t xml:space="preserve">.  Interest may not accrue upon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§6 (AMD); PL 2023, c. 441,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2023, c. 441, Pt. B, §6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§6263. Extension of time for payment upon death of claimant or spouse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§6263. Extension of time for payment upon death of claimant or spouse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§6263. EXTENSION OF TIME FOR PAYMENT UPON DEATH OF CLAIMANT OR SPOUSE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