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§6576. PREAMNESTY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