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6591</w:t>
        <w:t xml:space="preserve">.  </w:t>
      </w:r>
      <w:r>
        <w:rPr>
          <w:b/>
        </w:rPr>
        <w:t xml:space="preserve">2009 Tax Receivables Reduction Initiative established</w:t>
      </w:r>
    </w:p>
    <w:p>
      <w:pPr>
        <w:jc w:val="both"/>
        <w:spacing w:before="100" w:after="100"/>
        <w:ind w:start="360"/>
        <w:ind w:firstLine="360"/>
      </w:pPr>
      <w:r>
        <w:rPr/>
      </w:r>
      <w:r>
        <w:rPr/>
      </w:r>
      <w:r>
        <w:t xml:space="preserve">There is established the 2009 Tax Receivables Reduction Initiative, referred to in this chapter as "the initiative." The initiative is intended to encourage delinquent taxpayers to pay existing tax obligations. The goal of the initiative is to raise revenue during fiscal year 2009-10 and to reduce the increasing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§6591. 2009 Tax Receivables Reduction Initiative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§6591. 2009 Tax Receivables Reduction Initiative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§6591. 2009 TAX RECEIVABLES REDUCTION INITIATIVE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