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Program name</w:t>
      </w:r>
    </w:p>
    <w:p>
      <w:pPr>
        <w:jc w:val="both"/>
        <w:spacing w:before="100" w:after="100"/>
        <w:ind w:start="360"/>
      </w:pPr>
      <w:r>
        <w:rPr>
          <w:b/>
        </w:rPr>
        <w:t>(REALLOCATED FROM TITLE 36, SECTION 6661)</w:t>
      </w:r>
    </w:p>
    <w:p>
      <w:pPr>
        <w:jc w:val="both"/>
        <w:spacing w:before="100" w:after="100"/>
        <w:ind w:start="360"/>
        <w:ind w:firstLine="360"/>
      </w:pPr>
      <w:r>
        <w:rPr/>
      </w:r>
      <w:r>
        <w:rPr/>
      </w:r>
      <w:r>
        <w:t xml:space="preserve">The procedure for business property tax reimbursement provided by this chapter may be referred to as the "Business Equipment Tax Reimbursement" or "BETR" program.</w:t>
      </w:r>
      <w:r>
        <w:t xml:space="preserve">  </w:t>
      </w:r>
      <w:r xmlns:wp="http://schemas.openxmlformats.org/drawingml/2010/wordprocessingDrawing" xmlns:w15="http://schemas.microsoft.com/office/word/2012/wordml">
        <w:rPr>
          <w:rFonts w:ascii="Arial" w:hAnsi="Arial" w:cs="Arial"/>
          <w:sz w:val="22"/>
          <w:szCs w:val="22"/>
        </w:rPr>
        <w:t xml:space="preserve">[RR 2001,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§6663. Program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Program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§6663. PROGRAM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