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§694. Duty of assessor;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Duty of assessor;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§694. DUTY OF ASSESSOR;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