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697</w:t>
        <w:t xml:space="preserve">.  </w:t>
      </w:r>
      <w:r>
        <w:rPr>
          <w:b/>
        </w:rPr>
        <w:t xml:space="preserve">Audits; determination of bureau</w:t>
      </w:r>
    </w:p>
    <w:p>
      <w:pPr>
        <w:jc w:val="both"/>
        <w:spacing w:before="100" w:after="100"/>
        <w:ind w:start="360"/>
        <w:ind w:firstLine="360"/>
      </w:pPr>
      <w:r>
        <w:rPr/>
      </w:r>
      <w:r>
        <w:rPr/>
      </w:r>
      <w:r>
        <w:t xml:space="preserve">The bureau may audit the records of a municipality to ensure compliance with this subchapter.  The bureau may independently review the records of a municipality to determine if exemptions have been properly approved.  If the bureau determines that an exemption was improperly approved, the bureau shall ensure, by setoff against other payments due the municipality or otherwise, that the municipality is not reimbursed for the exemption.  A municipality that is aggrieved by a determination of the bureau under this section may appeal pursuant to </w:t>
      </w:r>
      <w:r>
        <w:t>section 151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181, Pt. C,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623, §1 (NEW). PL 2017, c. 211, Pt. A, §11 (AMD). PL 2021, c. 181, Pt. C,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§697. Audits; determination of bureau</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§697. Audits; determination of bureau</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§697. AUDITS; DETERMINATION OF BUREAU</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