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Legislative findings;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tax exemption set forth in this subchapter is a reasonable means of overcoming this disincentive and will encourage capital investment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fund fully transfers to the Disproportionate Tax Burden Fund under </w:t>
      </w:r>
      <w:r>
        <w:t>section 700‑A, subsection 1</w:t>
      </w:r>
      <w:r>
        <w:t xml:space="preserve"> and reimbursements under the business equipment tax reimbursement program under </w:t>
      </w:r>
      <w:r>
        <w:t>section 6652,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 Legislative findings;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Legislative findings;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§699. LEGISLATIVE FINDINGS;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