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7125</w:t>
        <w:t xml:space="preserve">.  </w:t>
      </w:r>
      <w:r>
        <w:rPr>
          <w:b/>
        </w:rPr>
        <w:t xml:space="preserve">Relationship to state law</w:t>
      </w:r>
    </w:p>
    <w:p>
      <w:pPr>
        <w:jc w:val="both"/>
        <w:spacing w:before="100" w:after="100"/>
        <w:ind w:start="360"/>
        <w:ind w:firstLine="360"/>
      </w:pPr>
      <w:r>
        <w:rPr/>
      </w:r>
      <w:r>
        <w:rPr/>
      </w:r>
      <w:r>
        <w:t xml:space="preserve">No provision of the agreement in whole or in part invalidates or amends any other provision of this Title or of any other law of this State.  Adoption of the agreement by the State Tax Assessor does not amend or modify any law of this State.  Implementation of any condition of the agreement in this State, whether implemented before, upon or after membership of this State in the agreement must be by the action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§7125. Relationship to state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§7125. Relationship to state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§7125. RELATIONSHIP TO STATE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