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893</w:t>
        <w:t xml:space="preserve">.  </w:t>
      </w:r>
      <w:r>
        <w:rPr>
          <w:b/>
        </w:rPr>
        <w:t xml:space="preserve">Collector liable to inhabitants</w:t>
      </w:r>
    </w:p>
    <w:p>
      <w:pPr>
        <w:jc w:val="both"/>
        <w:spacing w:before="100" w:after="100"/>
        <w:ind w:start="360"/>
        <w:ind w:firstLine="360"/>
      </w:pPr>
      <w:r>
        <w:rPr/>
      </w:r>
      <w:r>
        <w:rPr/>
      </w:r>
      <w:r>
        <w:t xml:space="preserve">A delinquent tax collector shall at all times be answerable to the inhabitants of his municipality for all sums which they have been obliged to pay by means of his deficiency and for all consequent damages.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§893. Collector liable to inhabitants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§893. Collector liable to inhabitants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§893. COLLECTOR LIABLE TO INHABITANTS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