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§1119. DAM CONDITION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