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 Property and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Property and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§145. PROPERTY AND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