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 Other state military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Other state military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§221. OTHER STATE MILITARY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