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Policies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§360. POLICIES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