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Flag to be carried</w:t>
      </w:r>
    </w:p>
    <w:p>
      <w:pPr>
        <w:jc w:val="both"/>
        <w:spacing w:before="100" w:after="100"/>
        <w:ind w:start="360"/>
        <w:ind w:firstLine="360"/>
      </w:pPr>
      <w:r>
        <w:rPr/>
      </w:r>
      <w:r>
        <w:rPr/>
      </w:r>
      <w:r>
        <w:t xml:space="preserve">The flag of the State to be carried by the National Guard shall be the same as the flag described in </w:t>
      </w:r>
      <w:r>
        <w:t>Title 1, section 206</w:t>
      </w:r>
      <w:r>
        <w:t xml:space="preserve">,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§384.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§384.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