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Receiving prisoners</w:t>
      </w:r>
    </w:p>
    <w:p>
      <w:pPr>
        <w:jc w:val="both"/>
        <w:spacing w:before="100" w:after="100"/>
        <w:ind w:start="360"/>
        <w:ind w:firstLine="360"/>
      </w:pPr>
      <w:r>
        <w:rPr/>
      </w:r>
      <w:r>
        <w:rPr/>
      </w:r>
      <w:r>
        <w:t xml:space="preserve">When an officer of the military forces delivers a prisoner and furnishes a statement of the offense charged against that prisoner to a provost marshal, commander of the guard, warden, keeper or officer of a city or county jail or other correctional center designated under </w:t>
      </w:r>
      <w:r>
        <w:t>section 408</w:t>
      </w:r>
      <w:r>
        <w:t xml:space="preserve">, that official shall commit the prisoner to the official's charge.</w:t>
      </w:r>
      <w:r>
        <w:t xml:space="preserve">  </w:t>
      </w:r>
      <w:r xmlns:wp="http://schemas.openxmlformats.org/drawingml/2010/wordprocessingDrawing" xmlns:w15="http://schemas.microsoft.com/office/word/2012/wordml">
        <w:rPr>
          <w:rFonts w:ascii="Arial" w:hAnsi="Arial" w:cs="Arial"/>
          <w:sz w:val="22"/>
          <w:szCs w:val="22"/>
        </w:rPr>
        <w:t xml:space="preserve">[RR 2019,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§412. Receiving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Receiving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§412. RECEIVING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