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 Application of the United States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Application of the United States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§414. APPLICATION OF THE UNITED STATES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