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w:t>
        <w:t xml:space="preserve">.  </w:t>
      </w:r>
      <w:r>
        <w:rPr>
          <w:b/>
        </w:rPr>
        <w:t xml:space="preserve">Convening a court-martial</w:t>
      </w:r>
    </w:p>
    <w:p>
      <w:pPr>
        <w:jc w:val="both"/>
        <w:spacing w:before="100" w:after="100"/>
        <w:ind w:start="360"/>
        <w:ind w:firstLine="360"/>
      </w:pPr>
      <w:r>
        <w:rPr/>
      </w:r>
      <w:r>
        <w:rPr/>
      </w:r>
      <w:r>
        <w:t xml:space="preserve">The convening authority of a court-martial under this Code shall be the Governor or the Adjutant General.</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§419. Convening a court-martial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 Convening a court-martial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§419. CONVENING A COURT-MARTIAL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