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Limitation of charges</w:t>
      </w:r>
    </w:p>
    <w:p>
      <w:pPr>
        <w:jc w:val="both"/>
        <w:spacing w:before="100" w:after="100"/>
        <w:ind w:start="360"/>
        <w:ind w:firstLine="360"/>
      </w:pPr>
      <w:r>
        <w:rPr/>
      </w:r>
      <w:r>
        <w:rPr/>
      </w:r>
      <w:r>
        <w:t xml:space="preserve">A person may not be tried by court-martial or punished under </w:t>
      </w:r>
      <w:r>
        <w:t>section 415‑A</w:t>
      </w:r>
      <w:r>
        <w:t xml:space="preserve"> if the offense with which that person is charged was committed more than 2 years before the receipt of sworn charges and specifications by an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[RR 2001,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2001, c. 2, §A44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 Limitation of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Limitation of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§426. LIMITATION OF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