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w:t>
        <w:t xml:space="preserve">.  </w:t>
      </w:r>
      <w:r>
        <w:rPr>
          <w:b/>
        </w:rPr>
        <w:t xml:space="preserve">Under influence of alcohol or drugs on duty</w:t>
      </w:r>
    </w:p>
    <w:p>
      <w:pPr>
        <w:jc w:val="both"/>
        <w:spacing w:before="100" w:after="100"/>
        <w:ind w:start="360"/>
        <w:ind w:firstLine="360"/>
      </w:pPr>
      <w:r>
        <w:rPr/>
      </w:r>
      <w:r>
        <w:rPr/>
      </w:r>
      <w:r>
        <w:t xml:space="preserve">Any person subject to this Code who is found under the influence of alcoholic liquor or any drug while on duty or reporting for duty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 Under influence of alcohol or drugs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 Under influence of alcohol or drugs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§450. UNDER INFLUENCE OF ALCOHOL OR DRUGS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